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3536" w:rsidRDefault="00CF3C93">
      <w:pPr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114300" distR="114300">
            <wp:extent cx="801370" cy="7924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2273300</wp:posOffset>
                </wp:positionH>
                <wp:positionV relativeFrom="paragraph">
                  <wp:posOffset>0</wp:posOffset>
                </wp:positionV>
                <wp:extent cx="3771900" cy="862419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406620"/>
                          <a:ext cx="3771900" cy="746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13536" w:rsidRDefault="00CF3C9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HAWAII DEPARTMENT OF EDUCATION</w:t>
                            </w:r>
                          </w:p>
                          <w:p w:rsidR="00F13536" w:rsidRDefault="00CF3C9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Hawaii Qualified Teacher </w:t>
                            </w:r>
                          </w:p>
                          <w:p w:rsidR="00F13536" w:rsidRDefault="00CF3C9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2018-2019 Complex Area Monitoring Template</w:t>
                            </w:r>
                          </w:p>
                          <w:p w:rsidR="00F13536" w:rsidRDefault="00CF3C9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0"/>
                              </w:rPr>
                              <w:t>(Monitoring for School Year 2017-18)</w:t>
                            </w:r>
                          </w:p>
                          <w:p w:rsidR="00F13536" w:rsidRDefault="00F1353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79pt;margin-top:0;width:297pt;height:67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" filled="f">
                <v:stroke miterlimit="5243f"/>
                <v:textbox inset="2.53958mm,2.53958mm,2.53958mm,2.53958mm">
                  <w:txbxContent>
                    <w:p w:rsidR="00F13536" w:rsidRDefault="00CF3C93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HAWAII DEPARTMENT OF EDUCATION</w:t>
                      </w:r>
                    </w:p>
                    <w:p w:rsidR="00F13536" w:rsidRDefault="00CF3C93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 xml:space="preserve">Hawaii Qualified Teacher </w:t>
                      </w:r>
                    </w:p>
                    <w:p w:rsidR="00F13536" w:rsidRDefault="00CF3C93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sz w:val="20"/>
                        </w:rPr>
                        <w:t>2018-2019 Complex Area Monitoring Template</w:t>
                      </w:r>
                    </w:p>
                    <w:p w:rsidR="00F13536" w:rsidRDefault="00CF3C93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0"/>
                        </w:rPr>
                        <w:t>(Monitoring for School Year 2017-18)</w:t>
                      </w:r>
                    </w:p>
                    <w:p w:rsidR="00F13536" w:rsidRDefault="00F13536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3536" w:rsidRDefault="00F13536">
      <w:pPr>
        <w:jc w:val="center"/>
      </w:pPr>
    </w:p>
    <w:p w:rsidR="00F13536" w:rsidRDefault="00CF3C93">
      <w:pPr>
        <w:rPr>
          <w:sz w:val="20"/>
          <w:szCs w:val="20"/>
        </w:rPr>
      </w:pPr>
      <w:r>
        <w:rPr>
          <w:sz w:val="20"/>
          <w:szCs w:val="20"/>
        </w:rPr>
        <w:t>Section 1: HQT Progress</w:t>
      </w:r>
    </w:p>
    <w:tbl>
      <w:tblPr>
        <w:tblStyle w:val="a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3536" w:rsidRDefault="00F1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3536" w:rsidRDefault="00CF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3536" w:rsidRDefault="00CF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</w:t>
            </w:r>
          </w:p>
        </w:tc>
      </w:tr>
      <w:tr w:rsidR="00F13536">
        <w:tc>
          <w:tcPr>
            <w:tcW w:w="630" w:type="dxa"/>
          </w:tcPr>
          <w:p w:rsidR="00F13536" w:rsidRDefault="00CF3C9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</w:pPr>
            <w:r>
              <w:rPr>
                <w:sz w:val="20"/>
                <w:szCs w:val="20"/>
              </w:rPr>
              <w:t>Percent of classes taught by HQTs in all CA schools BOY 2017-18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</w:tcPr>
          <w:p w:rsidR="00F13536" w:rsidRDefault="00CF3C9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</w:pPr>
            <w:r>
              <w:rPr>
                <w:sz w:val="20"/>
                <w:szCs w:val="20"/>
              </w:rPr>
              <w:t>Percent of classes taught by HQTs in all CA schools EOY 2017-18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</w:tcPr>
          <w:p w:rsidR="00F13536" w:rsidRDefault="00CF3C9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</w:pPr>
            <w:r>
              <w:rPr>
                <w:sz w:val="20"/>
                <w:szCs w:val="20"/>
              </w:rPr>
              <w:t>Percent of classes taught by HQTs in all CA schools BOY 2018-19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</w:tcPr>
          <w:p w:rsidR="00F13536" w:rsidRDefault="00CF3C9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</w:pPr>
            <w:r>
              <w:rPr>
                <w:sz w:val="20"/>
                <w:szCs w:val="20"/>
              </w:rPr>
              <w:t>HQT status of each CA school BOY 2018-19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F13536">
            <w:pPr>
              <w:rPr>
                <w:sz w:val="20"/>
                <w:szCs w:val="20"/>
              </w:rPr>
            </w:pPr>
          </w:p>
          <w:p w:rsidR="00F13536" w:rsidRDefault="00F13536">
            <w:pPr>
              <w:rPr>
                <w:sz w:val="20"/>
                <w:szCs w:val="20"/>
              </w:rPr>
            </w:pPr>
          </w:p>
          <w:p w:rsidR="00F13536" w:rsidRDefault="00F13536">
            <w:pPr>
              <w:rPr>
                <w:sz w:val="20"/>
                <w:szCs w:val="20"/>
              </w:rPr>
            </w:pPr>
          </w:p>
          <w:p w:rsidR="00F13536" w:rsidRDefault="00F13536">
            <w:pPr>
              <w:rPr>
                <w:sz w:val="20"/>
                <w:szCs w:val="20"/>
              </w:rPr>
            </w:pPr>
          </w:p>
        </w:tc>
      </w:tr>
    </w:tbl>
    <w:p w:rsidR="00F13536" w:rsidRDefault="00CF3C93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HQTs =</w:t>
      </w:r>
      <w:r>
        <w:rPr>
          <w:sz w:val="16"/>
          <w:szCs w:val="16"/>
        </w:rPr>
        <w:t>Hawaii</w:t>
      </w:r>
      <w:r>
        <w:rPr>
          <w:sz w:val="16"/>
          <w:szCs w:val="16"/>
        </w:rPr>
        <w:t xml:space="preserve"> Qualified Teachers, BOY=Beginning of Year, EOY=End of Year</w:t>
      </w:r>
    </w:p>
    <w:p w:rsidR="00F13536" w:rsidRDefault="00F13536">
      <w:pPr>
        <w:spacing w:line="276" w:lineRule="auto"/>
        <w:jc w:val="center"/>
        <w:rPr>
          <w:sz w:val="16"/>
          <w:szCs w:val="16"/>
        </w:rPr>
      </w:pPr>
    </w:p>
    <w:p w:rsidR="00F13536" w:rsidRDefault="00CF3C93">
      <w:p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Overview</w:t>
      </w:r>
    </w:p>
    <w:tbl>
      <w:tblPr>
        <w:tblStyle w:val="a0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3536" w:rsidRDefault="00F1353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3536" w:rsidRDefault="00CF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3536" w:rsidRDefault="00CF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Answer/Evidence</w:t>
            </w: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successful has the complex area been in reducing the number of NHQs?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F13536">
            <w:pPr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 complex area monitor school progress in reducing the number of NHQTs?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F13536">
            <w:pPr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Although not required for SY17-18, for those schools that have not made progress in reducing the number of HQ teachers, what steps has the complex area taken?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CA:  Provide documentation of steps taken 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2017-18 what professional development and other activities did the </w:t>
            </w:r>
            <w:r>
              <w:rPr>
                <w:sz w:val="20"/>
                <w:szCs w:val="20"/>
                <w:u w:val="single"/>
              </w:rPr>
              <w:t>complex area</w:t>
            </w:r>
            <w:r>
              <w:rPr>
                <w:sz w:val="20"/>
                <w:szCs w:val="20"/>
              </w:rPr>
              <w:t xml:space="preserve"> provide to increase the number of classes taught by HQTs (Tier-One funds)?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CA:  Provide list of PD activities and other supports 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total amount of 2017-18 Title IIA funds spent in support of the complex area’s Tier-One activities?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CA:  Provide FRS Report 3.8 with drill down of expenditures for Tier One progr</w:t>
            </w:r>
            <w:r>
              <w:rPr>
                <w:sz w:val="20"/>
                <w:szCs w:val="20"/>
              </w:rPr>
              <w:t>am IDs.  Delineate by school expenditures and CA expenditures. Please directly associate the use of Tier One funds with recipient non-HQ teachers. (Note:  expenditures should align with 2.4 activities above)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additional opportunities would be helpf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ul to your efforts to </w:t>
            </w:r>
            <w:r>
              <w:rPr>
                <w:sz w:val="20"/>
                <w:szCs w:val="20"/>
              </w:rPr>
              <w:lastRenderedPageBreak/>
              <w:t>assist/require non-HQ teachers to become HQ?</w:t>
            </w:r>
          </w:p>
        </w:tc>
        <w:tc>
          <w:tcPr>
            <w:tcW w:w="4050" w:type="dxa"/>
          </w:tcPr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induction and mentoring activities did the </w:t>
            </w:r>
            <w:r>
              <w:rPr>
                <w:sz w:val="20"/>
                <w:szCs w:val="20"/>
                <w:u w:val="single"/>
              </w:rPr>
              <w:t>complex area</w:t>
            </w:r>
            <w:r>
              <w:rPr>
                <w:sz w:val="20"/>
                <w:szCs w:val="20"/>
              </w:rPr>
              <w:t xml:space="preserve"> support with Title IIA funds in 2017-18?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CA:  Provide list of activities an</w:t>
            </w:r>
            <w:r>
              <w:rPr>
                <w:sz w:val="20"/>
                <w:szCs w:val="20"/>
              </w:rPr>
              <w:t xml:space="preserve">d include the following documents as appropriate: event title, date, roster of attendees, contracts, and position descriptions  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other professional development and activities did the </w:t>
            </w:r>
            <w:r>
              <w:rPr>
                <w:sz w:val="20"/>
                <w:szCs w:val="20"/>
                <w:u w:val="single"/>
              </w:rPr>
              <w:t>complex area</w:t>
            </w:r>
            <w:r>
              <w:rPr>
                <w:sz w:val="20"/>
                <w:szCs w:val="20"/>
              </w:rPr>
              <w:t xml:space="preserve"> support with Title IIA Tier-Two funds in 2017-18?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CA:  Provide list of activities and include the following documents as appropriate: event title, date, roster of attendees, contracts, and position descriptions  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total amount of 2017-18 Title IIA funds spent in support of the complex area’s Tier-Two activities?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CA:  Provide FRS Report 3.8 with drill down of expenditures for Tier Two program IDs. Delineate by school expenditures and CA expenditures. Inc</w:t>
            </w:r>
            <w:r>
              <w:rPr>
                <w:sz w:val="20"/>
                <w:szCs w:val="20"/>
              </w:rPr>
              <w:t>lude the following documents as appropriate: Use of Funds Justification Form, Purchase Order, Invoice, Payroll Certifications. (Note:  expenditures should align with 2.7 and 2.8 activities above)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has the State Offices done to support the co</w:t>
            </w:r>
            <w:r>
              <w:rPr>
                <w:sz w:val="20"/>
                <w:szCs w:val="20"/>
              </w:rPr>
              <w:t>mplex area and your schools’ professional development efforts?</w:t>
            </w:r>
          </w:p>
        </w:tc>
        <w:tc>
          <w:tcPr>
            <w:tcW w:w="4050" w:type="dxa"/>
          </w:tcPr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could State Offices better support the complex area and your schools’ professional development efforts?</w:t>
            </w:r>
          </w:p>
        </w:tc>
        <w:tc>
          <w:tcPr>
            <w:tcW w:w="4050" w:type="dxa"/>
          </w:tcPr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13536" w:rsidRDefault="00F13536">
      <w:pPr>
        <w:rPr>
          <w:sz w:val="20"/>
          <w:szCs w:val="20"/>
        </w:rPr>
      </w:pPr>
    </w:p>
    <w:p w:rsidR="00F13536" w:rsidRDefault="00F13536">
      <w:pPr>
        <w:rPr>
          <w:sz w:val="20"/>
          <w:szCs w:val="20"/>
        </w:rPr>
      </w:pPr>
    </w:p>
    <w:p w:rsidR="00F13536" w:rsidRDefault="00CF3C93">
      <w:pPr>
        <w:rPr>
          <w:sz w:val="20"/>
          <w:szCs w:val="20"/>
        </w:rPr>
      </w:pPr>
      <w:r>
        <w:rPr>
          <w:sz w:val="20"/>
          <w:szCs w:val="20"/>
        </w:rPr>
        <w:t xml:space="preserve">Section 3: </w:t>
      </w:r>
      <w:r>
        <w:rPr>
          <w:sz w:val="20"/>
          <w:szCs w:val="20"/>
        </w:rPr>
        <w:t>Assurances</w:t>
      </w:r>
    </w:p>
    <w:tbl>
      <w:tblPr>
        <w:tblStyle w:val="a1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3536" w:rsidRDefault="00F1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3536" w:rsidRDefault="00CF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3536" w:rsidRDefault="00CF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Answer/Evidence</w:t>
            </w: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the complex area work with schools to ensure that teachers hired in Title I schools are HQ at the time of hire?  </w:t>
            </w:r>
          </w:p>
        </w:tc>
        <w:tc>
          <w:tcPr>
            <w:tcW w:w="4050" w:type="dxa"/>
          </w:tcPr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:rsidR="00F13536" w:rsidRDefault="00F13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successful has the complex area been in reducing the number of non-HQ teachers hired in Title I schools?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the complex area ensure that every non-HQ  teacher </w:t>
            </w:r>
            <w:r>
              <w:rPr>
                <w:sz w:val="20"/>
                <w:szCs w:val="20"/>
              </w:rPr>
              <w:lastRenderedPageBreak/>
              <w:t>hired in Title I schools has a plan in place to become HQ?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CA:  Provide documentation 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 complex area monitor the hiring and assignment of substitute teachers?</w:t>
            </w:r>
          </w:p>
        </w:tc>
        <w:tc>
          <w:tcPr>
            <w:tcW w:w="4050" w:type="dxa"/>
          </w:tcPr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36" w:rsidRDefault="00CF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 complex area ensure all component schools notified parents or guardians when their child had been assigned or had been taught for four or more consecutive weeks by a teacher or substitute who is non-HQ?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CA:  Provide documentation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</w:tcPr>
          <w:p w:rsidR="00F13536" w:rsidRDefault="00CF3C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 complex area ensure that its component schools notified parents of their right to request and receive information on the qualifications of their children’s teachers?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CA:  Provide list of schools and method of notification</w:t>
            </w: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3536">
        <w:tc>
          <w:tcPr>
            <w:tcW w:w="630" w:type="dxa"/>
          </w:tcPr>
          <w:p w:rsidR="00F13536" w:rsidRDefault="00CF3C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payroll certification forms for Title II A funded positions</w:t>
            </w:r>
          </w:p>
        </w:tc>
        <w:tc>
          <w:tcPr>
            <w:tcW w:w="405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CA:  Provide copies of certification forms for all Title II A funded positions</w:t>
            </w:r>
          </w:p>
        </w:tc>
      </w:tr>
      <w:tr w:rsidR="00F13536">
        <w:tc>
          <w:tcPr>
            <w:tcW w:w="630" w:type="dxa"/>
          </w:tcPr>
          <w:p w:rsidR="00F13536" w:rsidRDefault="00CF3C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670" w:type="dxa"/>
          </w:tcPr>
          <w:p w:rsidR="00F13536" w:rsidRDefault="00CF3C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corrective actions that should have been undertaken since the last Title II monitor</w:t>
            </w:r>
            <w:r>
              <w:rPr>
                <w:sz w:val="20"/>
                <w:szCs w:val="20"/>
              </w:rPr>
              <w:t>ing, but were not?  If so, what was not completed and why?</w:t>
            </w:r>
          </w:p>
        </w:tc>
        <w:tc>
          <w:tcPr>
            <w:tcW w:w="4050" w:type="dxa"/>
          </w:tcPr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  <w:p w:rsidR="00F13536" w:rsidRDefault="00F1353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13536" w:rsidRDefault="00F13536">
      <w:pPr>
        <w:rPr>
          <w:sz w:val="20"/>
          <w:szCs w:val="20"/>
        </w:rPr>
      </w:pPr>
    </w:p>
    <w:p w:rsidR="00F13536" w:rsidRDefault="00F13536">
      <w:pPr>
        <w:rPr>
          <w:sz w:val="20"/>
          <w:szCs w:val="20"/>
        </w:rPr>
      </w:pPr>
    </w:p>
    <w:p w:rsidR="00F13536" w:rsidRDefault="00CF3C93">
      <w:pPr>
        <w:rPr>
          <w:sz w:val="18"/>
          <w:szCs w:val="18"/>
        </w:rPr>
      </w:pPr>
      <w:r>
        <w:rPr>
          <w:i/>
          <w:sz w:val="18"/>
          <w:szCs w:val="18"/>
        </w:rPr>
        <w:t>Note:  Compliance will be monitored by DOE.  Failure to meet program regulations and/or established deadlines may result in sanctions, including an interruption of federal funds.</w:t>
      </w:r>
    </w:p>
    <w:sectPr w:rsidR="00F13536">
      <w:footerReference w:type="default" r:id="rId7"/>
      <w:pgSz w:w="12240" w:h="15840"/>
      <w:pgMar w:top="72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3C93">
      <w:r>
        <w:separator/>
      </w:r>
    </w:p>
  </w:endnote>
  <w:endnote w:type="continuationSeparator" w:id="0">
    <w:p w:rsidR="00000000" w:rsidRDefault="00CF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536" w:rsidRDefault="00CF3C93">
    <w:pPr>
      <w:tabs>
        <w:tab w:val="center" w:pos="4320"/>
        <w:tab w:val="right" w:pos="8640"/>
      </w:tabs>
      <w:spacing w:after="720"/>
      <w:rPr>
        <w:sz w:val="20"/>
        <w:szCs w:val="20"/>
      </w:rPr>
    </w:pPr>
    <w:r>
      <w:rPr>
        <w:sz w:val="20"/>
        <w:szCs w:val="20"/>
      </w:rPr>
      <w:t>September</w:t>
    </w:r>
    <w:r>
      <w:rPr>
        <w:sz w:val="20"/>
        <w:szCs w:val="20"/>
      </w:rPr>
      <w:t xml:space="preserve"> 201</w:t>
    </w:r>
    <w:r>
      <w:rPr>
        <w:sz w:val="20"/>
        <w:szCs w:val="20"/>
      </w:rPr>
      <w:t>7</w:t>
    </w:r>
    <w:r>
      <w:rPr>
        <w:sz w:val="20"/>
        <w:szCs w:val="20"/>
      </w:rPr>
      <w:tab/>
      <w:t xml:space="preserve">ESSA </w:t>
    </w:r>
    <w:r>
      <w:rPr>
        <w:sz w:val="20"/>
        <w:szCs w:val="20"/>
      </w:rPr>
      <w:t>HQT</w:t>
    </w:r>
    <w:r>
      <w:rPr>
        <w:sz w:val="20"/>
        <w:szCs w:val="20"/>
      </w:rPr>
      <w:t xml:space="preserve"> Handbook</w:t>
    </w:r>
    <w:r>
      <w:rPr>
        <w:sz w:val="20"/>
        <w:szCs w:val="20"/>
      </w:rPr>
      <w:tab/>
      <w:t>Doc. 5c1</w:t>
    </w:r>
    <w:r>
      <w:rPr>
        <w:sz w:val="20"/>
        <w:szCs w:val="20"/>
      </w:rPr>
      <w:t xml:space="preserve"> –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3C93">
      <w:r>
        <w:separator/>
      </w:r>
    </w:p>
  </w:footnote>
  <w:footnote w:type="continuationSeparator" w:id="0">
    <w:p w:rsidR="00000000" w:rsidRDefault="00CF3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6"/>
    <w:rsid w:val="00CF3C93"/>
    <w:rsid w:val="00F1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5AE2E-FF6A-49FE-9335-E0ED733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F3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93"/>
  </w:style>
  <w:style w:type="paragraph" w:styleId="Footer">
    <w:name w:val="footer"/>
    <w:basedOn w:val="Normal"/>
    <w:link w:val="FooterChar"/>
    <w:uiPriority w:val="99"/>
    <w:unhideWhenUsed/>
    <w:rsid w:val="00CF3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hqt_dgxccy1</dc:creator>
  <cp:lastModifiedBy>hqt_dgxccy1</cp:lastModifiedBy>
  <cp:revision>2</cp:revision>
  <dcterms:created xsi:type="dcterms:W3CDTF">2017-10-06T00:33:00Z</dcterms:created>
  <dcterms:modified xsi:type="dcterms:W3CDTF">2017-10-06T00:33:00Z</dcterms:modified>
</cp:coreProperties>
</file>